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65F48">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Data Privacy and Compliance in Building Lead Databases</w:t>
      </w:r>
    </w:p>
    <w:p w14:paraId="7D1B6834">
      <w:pPr>
        <w:rPr>
          <w:rFonts w:ascii="Calibri" w:hAnsi="Calibri" w:eastAsia="Calibri" w:cs="Calibri"/>
          <w:b/>
          <w:color w:val="0E101A"/>
          <w:u w:val="single"/>
          <w:rtl w:val="0"/>
        </w:rPr>
      </w:pPr>
    </w:p>
    <w:p w14:paraId="00000002">
      <w:pPr>
        <w:rPr>
          <w:rFonts w:ascii="Calibri" w:hAnsi="Calibri" w:eastAsia="Calibri" w:cs="Calibri"/>
          <w:color w:val="0E101A"/>
        </w:rPr>
      </w:pPr>
      <w:r>
        <w:rPr>
          <w:rFonts w:ascii="Calibri" w:hAnsi="Calibri" w:eastAsia="Calibri" w:cs="Calibri"/>
          <w:color w:val="0E101A"/>
          <w:rtl w:val="0"/>
        </w:rPr>
        <w:t>Data privacy and compliance have become paramount in the digital age, especially when building and managing lead databases. With increasing regulations and heightened awareness of data protection rights, businesses must prioritise data privacy to avoid severe consequences. This article explores the importance of data privacy and compliance, key regulations that companies must adhere to, potential risks of non-compliance, and practical tips for ensuring compliance.</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wo5f222l142w" w:colFirst="0" w:colLast="0"/>
      <w:bookmarkEnd w:id="0"/>
      <w:r>
        <w:rPr>
          <w:rFonts w:ascii="Calibri" w:hAnsi="Calibri" w:eastAsia="Calibri" w:cs="Calibri"/>
          <w:b/>
          <w:color w:val="0E101A"/>
          <w:sz w:val="22"/>
          <w:szCs w:val="22"/>
          <w:u w:val="single"/>
          <w:rtl w:val="0"/>
        </w:rPr>
        <w:t>The Importance of Data Privacy and Compliance</w:t>
      </w:r>
    </w:p>
    <w:p w14:paraId="76C24730"/>
    <w:p w14:paraId="00000005">
      <w:pPr>
        <w:rPr>
          <w:rFonts w:ascii="Calibri" w:hAnsi="Calibri" w:eastAsia="Calibri" w:cs="Calibri"/>
          <w:b/>
          <w:color w:val="0E101A"/>
        </w:rPr>
      </w:pPr>
      <w:r>
        <w:rPr>
          <w:rFonts w:ascii="Calibri" w:hAnsi="Calibri" w:eastAsia="Calibri" w:cs="Calibri"/>
          <w:b/>
          <w:color w:val="0E101A"/>
          <w:rtl w:val="0"/>
        </w:rPr>
        <w:t>Building Trust:</w:t>
      </w:r>
    </w:p>
    <w:p w14:paraId="00000006">
      <w:pPr>
        <w:rPr>
          <w:rFonts w:ascii="Calibri" w:hAnsi="Calibri" w:eastAsia="Calibri" w:cs="Calibri"/>
          <w:color w:val="0E101A"/>
        </w:rPr>
      </w:pPr>
      <w:r>
        <w:rPr>
          <w:rFonts w:ascii="Calibri" w:hAnsi="Calibri" w:eastAsia="Calibri" w:cs="Calibri"/>
          <w:color w:val="0E101A"/>
          <w:rtl w:val="0"/>
        </w:rPr>
        <w:t>Data privacy is crucial for maintaining trust between businesses and their customers. When leads provide their information, they expect it to be handled responsibly. Ensuring data privacy fosters a positive relationship and builds long-term trust.</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Legal Obligations:</w:t>
      </w:r>
    </w:p>
    <w:p w14:paraId="00000009">
      <w:pPr>
        <w:rPr>
          <w:rFonts w:ascii="Calibri" w:hAnsi="Calibri" w:eastAsia="Calibri" w:cs="Calibri"/>
          <w:color w:val="0E101A"/>
        </w:rPr>
      </w:pPr>
      <w:r>
        <w:rPr>
          <w:rFonts w:ascii="Calibri" w:hAnsi="Calibri" w:eastAsia="Calibri" w:cs="Calibri"/>
          <w:color w:val="0E101A"/>
          <w:rtl w:val="0"/>
        </w:rPr>
        <w:t>Compliance with data privacy regulations is not optional but a legal requirement. Adhering to these laws protects businesses from legal actions and financial penalties.</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Reputation Management:</w:t>
      </w:r>
    </w:p>
    <w:p w14:paraId="0000000C">
      <w:pPr>
        <w:rPr>
          <w:rFonts w:ascii="Calibri" w:hAnsi="Calibri" w:eastAsia="Calibri" w:cs="Calibri"/>
          <w:color w:val="0E101A"/>
        </w:rPr>
      </w:pPr>
      <w:r>
        <w:rPr>
          <w:rFonts w:ascii="Calibri" w:hAnsi="Calibri" w:eastAsia="Calibri" w:cs="Calibri"/>
          <w:color w:val="0E101A"/>
          <w:rtl w:val="0"/>
        </w:rPr>
        <w:t>Data breaches and non-compliance can severely damage a company's reputation. Prioritising data privacy helps maintain a positive brand image and secures customer loyalty.</w:t>
      </w:r>
    </w:p>
    <w:p w14:paraId="0000000D">
      <w:pPr>
        <w:rPr>
          <w:rFonts w:ascii="Calibri" w:hAnsi="Calibri" w:eastAsia="Calibri" w:cs="Calibri"/>
          <w:color w:val="0E101A"/>
        </w:rPr>
      </w:pPr>
    </w:p>
    <w:p w14:paraId="0000000E">
      <w:pPr>
        <w:pStyle w:val="4"/>
        <w:keepNext w:val="0"/>
        <w:keepLines w:val="0"/>
        <w:spacing w:before="0" w:after="0"/>
        <w:rPr>
          <w:rFonts w:ascii="Calibri" w:hAnsi="Calibri" w:eastAsia="Calibri" w:cs="Calibri"/>
          <w:b/>
          <w:color w:val="0E101A"/>
          <w:sz w:val="22"/>
          <w:szCs w:val="22"/>
        </w:rPr>
      </w:pPr>
      <w:bookmarkStart w:id="1" w:name="_seyxli26i6vs" w:colFirst="0" w:colLast="0"/>
      <w:bookmarkEnd w:id="1"/>
      <w:r>
        <w:rPr>
          <w:rFonts w:ascii="Calibri" w:hAnsi="Calibri" w:eastAsia="Calibri" w:cs="Calibri"/>
          <w:b/>
          <w:color w:val="0E101A"/>
          <w:sz w:val="22"/>
          <w:szCs w:val="22"/>
          <w:rtl w:val="0"/>
        </w:rPr>
        <w:t>Key Regulations</w:t>
      </w:r>
    </w:p>
    <w:p w14:paraId="0000000F">
      <w:pPr>
        <w:rPr>
          <w:rFonts w:ascii="Calibri" w:hAnsi="Calibri" w:eastAsia="Calibri" w:cs="Calibri"/>
          <w:b/>
          <w:color w:val="0E101A"/>
        </w:rPr>
      </w:pPr>
      <w:r>
        <w:rPr>
          <w:rFonts w:ascii="Calibri" w:hAnsi="Calibri" w:eastAsia="Calibri" w:cs="Calibri"/>
          <w:b/>
          <w:color w:val="0E101A"/>
          <w:rtl w:val="0"/>
        </w:rPr>
        <w:t>General Data Protection Regulation (GDPR):</w:t>
      </w:r>
    </w:p>
    <w:p w14:paraId="00000010">
      <w:pPr>
        <w:rPr>
          <w:rFonts w:ascii="Calibri" w:hAnsi="Calibri" w:eastAsia="Calibri" w:cs="Calibri"/>
          <w:color w:val="0E101A"/>
        </w:rPr>
      </w:pPr>
      <w:r>
        <w:rPr>
          <w:rFonts w:ascii="Calibri" w:hAnsi="Calibri" w:eastAsia="Calibri" w:cs="Calibri"/>
          <w:color w:val="0E101A"/>
          <w:rtl w:val="0"/>
        </w:rPr>
        <w:t>The GDPR is a comprehensive data protection law that applies to businesses operating within the European Union or handling data of EU residents. It mandates stringent data protection measures and emphasises obtaining explicit consent from individuals before collecting their data.</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California Consumer Privacy Act (CCPA):</w:t>
      </w:r>
    </w:p>
    <w:p w14:paraId="00000013">
      <w:pPr>
        <w:rPr>
          <w:rFonts w:ascii="Calibri" w:hAnsi="Calibri" w:eastAsia="Calibri" w:cs="Calibri"/>
          <w:color w:val="0E101A"/>
        </w:rPr>
      </w:pPr>
      <w:r>
        <w:rPr>
          <w:rFonts w:ascii="Calibri" w:hAnsi="Calibri" w:eastAsia="Calibri" w:cs="Calibri"/>
          <w:color w:val="0E101A"/>
          <w:rtl w:val="0"/>
        </w:rPr>
        <w:t>The CCPA is a state-level regulation that gives California residents greater control over their personal information. It includes rights such as the ability to opt out of data sales and request the deletion of their data.</w:t>
      </w:r>
    </w:p>
    <w:p w14:paraId="00000014">
      <w:pPr>
        <w:rPr>
          <w:rFonts w:ascii="Calibri" w:hAnsi="Calibri" w:eastAsia="Calibri" w:cs="Calibri"/>
          <w:color w:val="0E101A"/>
        </w:rPr>
      </w:pPr>
    </w:p>
    <w:p w14:paraId="00000015">
      <w:pPr>
        <w:rPr>
          <w:rFonts w:ascii="Calibri" w:hAnsi="Calibri" w:eastAsia="Calibri" w:cs="Calibri"/>
          <w:b/>
          <w:color w:val="0E101A"/>
        </w:rPr>
      </w:pPr>
      <w:r>
        <w:rPr>
          <w:rFonts w:ascii="Calibri" w:hAnsi="Calibri" w:eastAsia="Calibri" w:cs="Calibri"/>
          <w:b/>
          <w:color w:val="0E101A"/>
          <w:rtl w:val="0"/>
        </w:rPr>
        <w:t>Other Notable Regulations:</w:t>
      </w:r>
    </w:p>
    <w:p w14:paraId="00000016">
      <w:pPr>
        <w:rPr>
          <w:rFonts w:ascii="Calibri" w:hAnsi="Calibri" w:eastAsia="Calibri" w:cs="Calibri"/>
          <w:color w:val="0E101A"/>
        </w:rPr>
      </w:pPr>
      <w:r>
        <w:rPr>
          <w:rFonts w:ascii="Calibri" w:hAnsi="Calibri" w:eastAsia="Calibri" w:cs="Calibri"/>
          <w:color w:val="0E101A"/>
          <w:rtl w:val="0"/>
        </w:rPr>
        <w:t>Various regions have their own data privacy laws, such as the Personal Data Protection Act (PDPA) in Singapore, the Protection of Personal Information Act (POPIA) in South Africa, and the Brazilian General Data Protection Law (LGPD). Businesses must stay informed about and comply with relevant regulations in their operating regions.</w:t>
      </w:r>
    </w:p>
    <w:p w14:paraId="00000017">
      <w:pPr>
        <w:rPr>
          <w:rFonts w:ascii="Calibri" w:hAnsi="Calibri" w:eastAsia="Calibri" w:cs="Calibri"/>
          <w:color w:val="0E101A"/>
        </w:rPr>
      </w:pPr>
    </w:p>
    <w:p w14:paraId="0583A006">
      <w:pPr>
        <w:pStyle w:val="4"/>
        <w:keepNext w:val="0"/>
        <w:keepLines w:val="0"/>
        <w:spacing w:before="0" w:after="0"/>
        <w:rPr>
          <w:rFonts w:ascii="Calibri" w:hAnsi="Calibri" w:eastAsia="Calibri" w:cs="Calibri"/>
          <w:b/>
          <w:color w:val="0E101A"/>
          <w:sz w:val="22"/>
          <w:szCs w:val="22"/>
          <w:rtl w:val="0"/>
        </w:rPr>
      </w:pPr>
      <w:bookmarkStart w:id="2" w:name="_i39ecihqh7cs" w:colFirst="0" w:colLast="0"/>
      <w:bookmarkEnd w:id="2"/>
    </w:p>
    <w:p w14:paraId="5077001A">
      <w:pPr>
        <w:pStyle w:val="4"/>
        <w:keepNext w:val="0"/>
        <w:keepLines w:val="0"/>
        <w:spacing w:before="0" w:after="0"/>
        <w:rPr>
          <w:rFonts w:ascii="Calibri" w:hAnsi="Calibri" w:eastAsia="Calibri" w:cs="Calibri"/>
          <w:b/>
          <w:color w:val="0E101A"/>
          <w:sz w:val="22"/>
          <w:szCs w:val="22"/>
          <w:rtl w:val="0"/>
        </w:rPr>
      </w:pPr>
    </w:p>
    <w:p w14:paraId="00000018">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Potential Risks and Consequences of Non-Compliance</w:t>
      </w:r>
    </w:p>
    <w:p w14:paraId="16715661"/>
    <w:p w14:paraId="00000019">
      <w:pPr>
        <w:rPr>
          <w:rFonts w:ascii="Calibri" w:hAnsi="Calibri" w:eastAsia="Calibri" w:cs="Calibri"/>
          <w:b/>
          <w:color w:val="0E101A"/>
        </w:rPr>
      </w:pPr>
      <w:r>
        <w:rPr>
          <w:rFonts w:ascii="Calibri" w:hAnsi="Calibri" w:eastAsia="Calibri" w:cs="Calibri"/>
          <w:b/>
          <w:color w:val="0E101A"/>
          <w:rtl w:val="0"/>
        </w:rPr>
        <w:t>Financial Penalties:</w:t>
      </w:r>
    </w:p>
    <w:p w14:paraId="0000001A">
      <w:pPr>
        <w:rPr>
          <w:rFonts w:ascii="Calibri" w:hAnsi="Calibri" w:eastAsia="Calibri" w:cs="Calibri"/>
          <w:color w:val="0E101A"/>
        </w:rPr>
      </w:pPr>
      <w:r>
        <w:rPr>
          <w:rFonts w:ascii="Calibri" w:hAnsi="Calibri" w:eastAsia="Calibri" w:cs="Calibri"/>
          <w:color w:val="0E101A"/>
          <w:rtl w:val="0"/>
        </w:rPr>
        <w:t>Non-compliance with data privacy regulations can result in hefty fines. For instance, GDPR violations can lead to penalties of up to €20 million or 4% of global annual turnover, whichever is higher.</w:t>
      </w:r>
    </w:p>
    <w:p w14:paraId="0000001B">
      <w:pPr>
        <w:rPr>
          <w:rFonts w:ascii="Calibri" w:hAnsi="Calibri" w:eastAsia="Calibri" w:cs="Calibri"/>
          <w:color w:val="0E101A"/>
        </w:rPr>
      </w:pPr>
    </w:p>
    <w:p w14:paraId="0000001C">
      <w:pPr>
        <w:rPr>
          <w:rFonts w:ascii="Calibri" w:hAnsi="Calibri" w:eastAsia="Calibri" w:cs="Calibri"/>
          <w:b/>
          <w:color w:val="0E101A"/>
        </w:rPr>
      </w:pPr>
      <w:r>
        <w:rPr>
          <w:rFonts w:ascii="Calibri" w:hAnsi="Calibri" w:eastAsia="Calibri" w:cs="Calibri"/>
          <w:b/>
          <w:color w:val="0E101A"/>
          <w:rtl w:val="0"/>
        </w:rPr>
        <w:t>Legal Actions:</w:t>
      </w:r>
    </w:p>
    <w:p w14:paraId="0000001D">
      <w:pPr>
        <w:rPr>
          <w:rFonts w:ascii="Calibri" w:hAnsi="Calibri" w:eastAsia="Calibri" w:cs="Calibri"/>
          <w:color w:val="0E101A"/>
        </w:rPr>
      </w:pPr>
      <w:r>
        <w:rPr>
          <w:rFonts w:ascii="Calibri" w:hAnsi="Calibri" w:eastAsia="Calibri" w:cs="Calibri"/>
          <w:color w:val="0E101A"/>
          <w:rtl w:val="0"/>
        </w:rPr>
        <w:t>Data breaches and non-compliance can lead to lawsuits and legal claims from affected individuals. This not only incurs legal costs but can also result in compensation payouts.</w:t>
      </w:r>
    </w:p>
    <w:p w14:paraId="0000001E">
      <w:pPr>
        <w:rPr>
          <w:rFonts w:ascii="Calibri" w:hAnsi="Calibri" w:eastAsia="Calibri" w:cs="Calibri"/>
          <w:color w:val="0E101A"/>
        </w:rPr>
      </w:pPr>
    </w:p>
    <w:p w14:paraId="0000001F">
      <w:pPr>
        <w:rPr>
          <w:rFonts w:ascii="Calibri" w:hAnsi="Calibri" w:eastAsia="Calibri" w:cs="Calibri"/>
          <w:b/>
          <w:color w:val="0E101A"/>
        </w:rPr>
      </w:pPr>
      <w:r>
        <w:rPr>
          <w:rFonts w:ascii="Calibri" w:hAnsi="Calibri" w:eastAsia="Calibri" w:cs="Calibri"/>
          <w:b/>
          <w:color w:val="0E101A"/>
          <w:rtl w:val="0"/>
        </w:rPr>
        <w:t>Reputational Damage:</w:t>
      </w:r>
    </w:p>
    <w:p w14:paraId="00000020">
      <w:pPr>
        <w:rPr>
          <w:rFonts w:ascii="Calibri" w:hAnsi="Calibri" w:eastAsia="Calibri" w:cs="Calibri"/>
          <w:color w:val="0E101A"/>
        </w:rPr>
      </w:pPr>
      <w:r>
        <w:rPr>
          <w:rFonts w:ascii="Calibri" w:hAnsi="Calibri" w:eastAsia="Calibri" w:cs="Calibri"/>
          <w:color w:val="0E101A"/>
          <w:rtl w:val="0"/>
        </w:rPr>
        <w:t>News of data breaches or privacy violations can spread quickly, damaging a company's reputation. This can lead to customer loss, decreased sales, and long-term brand damage.</w:t>
      </w:r>
    </w:p>
    <w:p w14:paraId="00000021">
      <w:pPr>
        <w:rPr>
          <w:rFonts w:ascii="Calibri" w:hAnsi="Calibri" w:eastAsia="Calibri" w:cs="Calibri"/>
          <w:color w:val="0E101A"/>
        </w:rPr>
      </w:pPr>
    </w:p>
    <w:p w14:paraId="00000022">
      <w:pPr>
        <w:pStyle w:val="4"/>
        <w:keepNext w:val="0"/>
        <w:keepLines w:val="0"/>
        <w:spacing w:before="0" w:after="0"/>
        <w:rPr>
          <w:rFonts w:ascii="Calibri" w:hAnsi="Calibri" w:eastAsia="Calibri" w:cs="Calibri"/>
          <w:b/>
          <w:color w:val="0E101A"/>
          <w:sz w:val="22"/>
          <w:szCs w:val="22"/>
        </w:rPr>
      </w:pPr>
      <w:bookmarkStart w:id="3" w:name="_vibxpjybavnj" w:colFirst="0" w:colLast="0"/>
      <w:bookmarkEnd w:id="3"/>
      <w:r>
        <w:rPr>
          <w:rFonts w:ascii="Calibri" w:hAnsi="Calibri" w:eastAsia="Calibri" w:cs="Calibri"/>
          <w:b/>
          <w:color w:val="0E101A"/>
          <w:sz w:val="22"/>
          <w:szCs w:val="22"/>
          <w:rtl w:val="0"/>
        </w:rPr>
        <w:t>Practical Tips for Ensuring Compliance</w:t>
      </w:r>
    </w:p>
    <w:p w14:paraId="00000023">
      <w:pPr>
        <w:rPr>
          <w:rFonts w:ascii="Calibri" w:hAnsi="Calibri" w:eastAsia="Calibri" w:cs="Calibri"/>
          <w:b/>
          <w:color w:val="0E101A"/>
        </w:rPr>
      </w:pPr>
      <w:r>
        <w:rPr>
          <w:rFonts w:ascii="Calibri" w:hAnsi="Calibri" w:eastAsia="Calibri" w:cs="Calibri"/>
          <w:b/>
          <w:color w:val="0E101A"/>
          <w:rtl w:val="0"/>
        </w:rPr>
        <w:t>Obtain Consent:</w:t>
      </w:r>
    </w:p>
    <w:p w14:paraId="00000024">
      <w:pPr>
        <w:rPr>
          <w:rFonts w:ascii="Calibri" w:hAnsi="Calibri" w:eastAsia="Calibri" w:cs="Calibri"/>
          <w:color w:val="0E101A"/>
        </w:rPr>
      </w:pPr>
      <w:r>
        <w:rPr>
          <w:rFonts w:ascii="Calibri" w:hAnsi="Calibri" w:eastAsia="Calibri" w:cs="Calibri"/>
          <w:color w:val="0E101A"/>
          <w:rtl w:val="0"/>
        </w:rPr>
        <w:t>Ensure you have explicit consent from individuals before collecting their data. Use clear and concise language to explain how their data will be used. Provide options for individuals to opt-in or opt-out of data collection.</w:t>
      </w:r>
    </w:p>
    <w:p w14:paraId="00000025">
      <w:pPr>
        <w:rPr>
          <w:rFonts w:ascii="Calibri" w:hAnsi="Calibri" w:eastAsia="Calibri" w:cs="Calibri"/>
          <w:color w:val="0E101A"/>
        </w:rPr>
      </w:pPr>
    </w:p>
    <w:p w14:paraId="00000026">
      <w:pPr>
        <w:rPr>
          <w:rFonts w:ascii="Calibri" w:hAnsi="Calibri" w:eastAsia="Calibri" w:cs="Calibri"/>
          <w:b/>
          <w:color w:val="0E101A"/>
        </w:rPr>
      </w:pPr>
      <w:r>
        <w:rPr>
          <w:rFonts w:ascii="Calibri" w:hAnsi="Calibri" w:eastAsia="Calibri" w:cs="Calibri"/>
          <w:b/>
          <w:color w:val="0E101A"/>
          <w:rtl w:val="0"/>
        </w:rPr>
        <w:t>Implement Data Protection Measures:</w:t>
      </w:r>
    </w:p>
    <w:p w14:paraId="00000027">
      <w:pPr>
        <w:rPr>
          <w:rFonts w:ascii="Calibri" w:hAnsi="Calibri" w:eastAsia="Calibri" w:cs="Calibri"/>
          <w:color w:val="0E101A"/>
        </w:rPr>
      </w:pPr>
      <w:r>
        <w:rPr>
          <w:rFonts w:ascii="Calibri" w:hAnsi="Calibri" w:eastAsia="Calibri" w:cs="Calibri"/>
          <w:color w:val="0E101A"/>
          <w:rtl w:val="0"/>
        </w:rPr>
        <w:t>Adopt robust data protection measures such as encryption, secure data storage, and access controls. Regularly update your security protocols to protect against emerging threats.</w:t>
      </w:r>
    </w:p>
    <w:p w14:paraId="00000028">
      <w:pPr>
        <w:rPr>
          <w:rFonts w:ascii="Calibri" w:hAnsi="Calibri" w:eastAsia="Calibri" w:cs="Calibri"/>
          <w:color w:val="0E101A"/>
        </w:rPr>
      </w:pPr>
    </w:p>
    <w:p w14:paraId="00000029">
      <w:pPr>
        <w:rPr>
          <w:rFonts w:ascii="Calibri" w:hAnsi="Calibri" w:eastAsia="Calibri" w:cs="Calibri"/>
          <w:b/>
          <w:color w:val="0E101A"/>
        </w:rPr>
      </w:pPr>
      <w:r>
        <w:rPr>
          <w:rFonts w:ascii="Calibri" w:hAnsi="Calibri" w:eastAsia="Calibri" w:cs="Calibri"/>
          <w:b/>
          <w:color w:val="0E101A"/>
          <w:rtl w:val="0"/>
        </w:rPr>
        <w:t>Conduct Regular Audits:</w:t>
      </w:r>
    </w:p>
    <w:p w14:paraId="0000002A">
      <w:pPr>
        <w:rPr>
          <w:rFonts w:ascii="Calibri" w:hAnsi="Calibri" w:eastAsia="Calibri" w:cs="Calibri"/>
          <w:color w:val="0E101A"/>
        </w:rPr>
      </w:pPr>
      <w:r>
        <w:rPr>
          <w:rFonts w:ascii="Calibri" w:hAnsi="Calibri" w:eastAsia="Calibri" w:cs="Calibri"/>
          <w:color w:val="0E101A"/>
          <w:rtl w:val="0"/>
        </w:rPr>
        <w:t>Perform regular data privacy audits to assess your compliance status. Identify any gaps or weaknesses in your data protection practices and take corrective actions promptly.</w:t>
      </w:r>
    </w:p>
    <w:p w14:paraId="0000002B">
      <w:pPr>
        <w:rPr>
          <w:rFonts w:ascii="Calibri" w:hAnsi="Calibri" w:eastAsia="Calibri" w:cs="Calibri"/>
          <w:color w:val="0E101A"/>
        </w:rPr>
      </w:pPr>
    </w:p>
    <w:p w14:paraId="0000002C">
      <w:pPr>
        <w:rPr>
          <w:rFonts w:ascii="Calibri" w:hAnsi="Calibri" w:eastAsia="Calibri" w:cs="Calibri"/>
          <w:b/>
          <w:color w:val="0E101A"/>
        </w:rPr>
      </w:pPr>
      <w:r>
        <w:rPr>
          <w:rFonts w:ascii="Calibri" w:hAnsi="Calibri" w:eastAsia="Calibri" w:cs="Calibri"/>
          <w:b/>
          <w:color w:val="0E101A"/>
          <w:rtl w:val="0"/>
        </w:rPr>
        <w:t>Train Your Team:</w:t>
      </w:r>
    </w:p>
    <w:p w14:paraId="0000002D">
      <w:pPr>
        <w:rPr>
          <w:rFonts w:ascii="Calibri" w:hAnsi="Calibri" w:eastAsia="Calibri" w:cs="Calibri"/>
          <w:color w:val="0E101A"/>
        </w:rPr>
      </w:pPr>
      <w:r>
        <w:rPr>
          <w:rFonts w:ascii="Calibri" w:hAnsi="Calibri" w:eastAsia="Calibri" w:cs="Calibri"/>
          <w:color w:val="0E101A"/>
          <w:rtl w:val="0"/>
        </w:rPr>
        <w:t>Educate your employees about data privacy regulations and best practices. Ensure they understand the importance of compliance and their role in maintaining data security.</w:t>
      </w:r>
    </w:p>
    <w:p w14:paraId="0000002E">
      <w:pPr>
        <w:rPr>
          <w:rFonts w:ascii="Calibri" w:hAnsi="Calibri" w:eastAsia="Calibri" w:cs="Calibri"/>
          <w:color w:val="0E101A"/>
        </w:rPr>
      </w:pPr>
    </w:p>
    <w:p w14:paraId="0000002F">
      <w:pPr>
        <w:rPr>
          <w:rFonts w:ascii="Calibri" w:hAnsi="Calibri" w:eastAsia="Calibri" w:cs="Calibri"/>
          <w:b/>
          <w:color w:val="0E101A"/>
        </w:rPr>
      </w:pPr>
      <w:r>
        <w:rPr>
          <w:rFonts w:ascii="Calibri" w:hAnsi="Calibri" w:eastAsia="Calibri" w:cs="Calibri"/>
          <w:b/>
          <w:color w:val="0E101A"/>
          <w:rtl w:val="0"/>
        </w:rPr>
        <w:t>Data Minimisation:</w:t>
      </w:r>
    </w:p>
    <w:p w14:paraId="00000030">
      <w:pPr>
        <w:rPr>
          <w:rFonts w:ascii="Calibri" w:hAnsi="Calibri" w:eastAsia="Calibri" w:cs="Calibri"/>
          <w:color w:val="0E101A"/>
        </w:rPr>
      </w:pPr>
      <w:r>
        <w:rPr>
          <w:rFonts w:ascii="Calibri" w:hAnsi="Calibri" w:eastAsia="Calibri" w:cs="Calibri"/>
          <w:color w:val="0E101A"/>
          <w:rtl w:val="0"/>
        </w:rPr>
        <w:t>Collect only the data that is necessary for your business operations. Avoid gathering excessive information that increases the risk of non-compliance and data breaches.</w:t>
      </w:r>
    </w:p>
    <w:p w14:paraId="00000031">
      <w:pPr>
        <w:rPr>
          <w:rFonts w:ascii="Calibri" w:hAnsi="Calibri" w:eastAsia="Calibri" w:cs="Calibri"/>
          <w:color w:val="0E101A"/>
        </w:rPr>
      </w:pPr>
    </w:p>
    <w:p w14:paraId="00000032">
      <w:pPr>
        <w:rPr>
          <w:rFonts w:ascii="Calibri" w:hAnsi="Calibri" w:eastAsia="Calibri" w:cs="Calibri"/>
          <w:b/>
          <w:color w:val="0E101A"/>
        </w:rPr>
      </w:pPr>
      <w:r>
        <w:rPr>
          <w:rFonts w:ascii="Calibri" w:hAnsi="Calibri" w:eastAsia="Calibri" w:cs="Calibri"/>
          <w:b/>
          <w:color w:val="0E101A"/>
          <w:rtl w:val="0"/>
        </w:rPr>
        <w:t>Documentation and Transparency:</w:t>
      </w:r>
    </w:p>
    <w:p w14:paraId="00000033">
      <w:pPr>
        <w:rPr>
          <w:rFonts w:ascii="Calibri" w:hAnsi="Calibri" w:eastAsia="Calibri" w:cs="Calibri"/>
          <w:color w:val="0E101A"/>
        </w:rPr>
      </w:pPr>
      <w:r>
        <w:rPr>
          <w:rFonts w:ascii="Calibri" w:hAnsi="Calibri" w:eastAsia="Calibri" w:cs="Calibri"/>
          <w:color w:val="0E101A"/>
          <w:rtl w:val="0"/>
        </w:rPr>
        <w:t>Maintain detailed records of your data processing activities. Be transparent with individuals about how their data is used, stored, and protected. Provide clear privacy policies and update them regularly.</w:t>
      </w:r>
    </w:p>
    <w:p w14:paraId="00000034">
      <w:pPr>
        <w:rPr>
          <w:rFonts w:ascii="Calibri" w:hAnsi="Calibri" w:eastAsia="Calibri" w:cs="Calibri"/>
          <w:color w:val="0E101A"/>
        </w:rPr>
      </w:pPr>
    </w:p>
    <w:p w14:paraId="5E5C34B4">
      <w:pPr>
        <w:pStyle w:val="4"/>
        <w:keepNext w:val="0"/>
        <w:keepLines w:val="0"/>
        <w:spacing w:before="0" w:after="0"/>
        <w:rPr>
          <w:rFonts w:ascii="Calibri" w:hAnsi="Calibri" w:eastAsia="Calibri" w:cs="Calibri"/>
          <w:b/>
          <w:color w:val="0E101A"/>
          <w:sz w:val="22"/>
          <w:szCs w:val="22"/>
          <w:rtl w:val="0"/>
        </w:rPr>
      </w:pPr>
      <w:bookmarkStart w:id="4" w:name="_g8avurtim1u3" w:colFirst="0" w:colLast="0"/>
      <w:bookmarkEnd w:id="4"/>
    </w:p>
    <w:p w14:paraId="34CC96AB">
      <w:pPr>
        <w:pStyle w:val="4"/>
        <w:keepNext w:val="0"/>
        <w:keepLines w:val="0"/>
        <w:spacing w:before="0" w:after="0"/>
        <w:rPr>
          <w:rFonts w:ascii="Calibri" w:hAnsi="Calibri" w:eastAsia="Calibri" w:cs="Calibri"/>
          <w:b/>
          <w:color w:val="0E101A"/>
          <w:sz w:val="22"/>
          <w:szCs w:val="22"/>
          <w:rtl w:val="0"/>
        </w:rPr>
      </w:pPr>
    </w:p>
    <w:p w14:paraId="00000035">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Examples of Best Practices in Data Privacy Management</w:t>
      </w:r>
    </w:p>
    <w:p w14:paraId="49A1F479">
      <w:bookmarkStart w:id="6" w:name="_GoBack"/>
      <w:bookmarkEnd w:id="6"/>
    </w:p>
    <w:p w14:paraId="00000036">
      <w:pPr>
        <w:rPr>
          <w:rFonts w:ascii="Calibri" w:hAnsi="Calibri" w:eastAsia="Calibri" w:cs="Calibri"/>
          <w:b/>
          <w:color w:val="0E101A"/>
        </w:rPr>
      </w:pPr>
      <w:r>
        <w:rPr>
          <w:rFonts w:ascii="Calibri" w:hAnsi="Calibri" w:eastAsia="Calibri" w:cs="Calibri"/>
          <w:b/>
          <w:color w:val="0E101A"/>
          <w:rtl w:val="0"/>
        </w:rPr>
        <w:t>Example 1: Clear Consent Mechanisms</w:t>
      </w:r>
    </w:p>
    <w:p w14:paraId="00000037">
      <w:pPr>
        <w:rPr>
          <w:rFonts w:ascii="Calibri" w:hAnsi="Calibri" w:eastAsia="Calibri" w:cs="Calibri"/>
          <w:color w:val="0E101A"/>
        </w:rPr>
      </w:pPr>
      <w:r>
        <w:rPr>
          <w:rFonts w:ascii="Calibri" w:hAnsi="Calibri" w:eastAsia="Calibri" w:cs="Calibri"/>
          <w:color w:val="0E101A"/>
          <w:rtl w:val="0"/>
        </w:rPr>
        <w:t>A financial services company uses detailed consent forms to inform customers how their data will be used. The forms include options to opt in or opt out of data sharing, ensuring compliance with GDPR and CCPA requirements.</w:t>
      </w:r>
    </w:p>
    <w:p w14:paraId="00000038">
      <w:pPr>
        <w:rPr>
          <w:rFonts w:ascii="Calibri" w:hAnsi="Calibri" w:eastAsia="Calibri" w:cs="Calibri"/>
          <w:color w:val="0E101A"/>
        </w:rPr>
      </w:pPr>
    </w:p>
    <w:p w14:paraId="00000039">
      <w:pPr>
        <w:rPr>
          <w:rFonts w:ascii="Calibri" w:hAnsi="Calibri" w:eastAsia="Calibri" w:cs="Calibri"/>
          <w:color w:val="0E101A"/>
        </w:rPr>
      </w:pPr>
    </w:p>
    <w:p w14:paraId="0000003A">
      <w:pPr>
        <w:rPr>
          <w:rFonts w:ascii="Calibri" w:hAnsi="Calibri" w:eastAsia="Calibri" w:cs="Calibri"/>
          <w:b/>
          <w:color w:val="0E101A"/>
        </w:rPr>
      </w:pPr>
      <w:r>
        <w:rPr>
          <w:rFonts w:ascii="Calibri" w:hAnsi="Calibri" w:eastAsia="Calibri" w:cs="Calibri"/>
          <w:b/>
          <w:color w:val="0E101A"/>
          <w:rtl w:val="0"/>
        </w:rPr>
        <w:t>Example 2: Regular Data Audits</w:t>
      </w:r>
    </w:p>
    <w:p w14:paraId="0000003B">
      <w:pPr>
        <w:rPr>
          <w:rFonts w:ascii="Calibri" w:hAnsi="Calibri" w:eastAsia="Calibri" w:cs="Calibri"/>
          <w:color w:val="0E101A"/>
        </w:rPr>
      </w:pPr>
      <w:r>
        <w:rPr>
          <w:rFonts w:ascii="Calibri" w:hAnsi="Calibri" w:eastAsia="Calibri" w:cs="Calibri"/>
          <w:color w:val="0E101A"/>
          <w:rtl w:val="0"/>
        </w:rPr>
        <w:t>A multinational corporation conducts quarterly data privacy audits to identify and address compliance issues. It has appointed a Data Protection Officer (DPO) to oversee data privacy practices and ensure adherence to regulations.</w:t>
      </w:r>
    </w:p>
    <w:p w14:paraId="0000003C">
      <w:pPr>
        <w:rPr>
          <w:rFonts w:ascii="Calibri" w:hAnsi="Calibri" w:eastAsia="Calibri" w:cs="Calibri"/>
          <w:color w:val="0E101A"/>
        </w:rPr>
      </w:pPr>
    </w:p>
    <w:p w14:paraId="0000003D">
      <w:pPr>
        <w:rPr>
          <w:rFonts w:ascii="Calibri" w:hAnsi="Calibri" w:eastAsia="Calibri" w:cs="Calibri"/>
          <w:b/>
          <w:color w:val="0E101A"/>
        </w:rPr>
      </w:pPr>
      <w:r>
        <w:rPr>
          <w:rFonts w:ascii="Calibri" w:hAnsi="Calibri" w:eastAsia="Calibri" w:cs="Calibri"/>
          <w:b/>
          <w:color w:val="0E101A"/>
          <w:rtl w:val="0"/>
        </w:rPr>
        <w:t>Example 3: Employee Training Programs</w:t>
      </w:r>
    </w:p>
    <w:p w14:paraId="0000003E">
      <w:pPr>
        <w:rPr>
          <w:rFonts w:ascii="Calibri" w:hAnsi="Calibri" w:eastAsia="Calibri" w:cs="Calibri"/>
          <w:color w:val="0E101A"/>
        </w:rPr>
      </w:pPr>
      <w:r>
        <w:rPr>
          <w:rFonts w:ascii="Calibri" w:hAnsi="Calibri" w:eastAsia="Calibri" w:cs="Calibri"/>
          <w:color w:val="0E101A"/>
          <w:rtl w:val="0"/>
        </w:rPr>
        <w:t>An e-commerce company implements regular employee training programs, covering topics such as data protection laws, secure data handling, and recognising phishing attempts. This proactive approach helps maintain high data security across the organisation.</w:t>
      </w:r>
    </w:p>
    <w:p w14:paraId="0000003F">
      <w:pPr>
        <w:pStyle w:val="4"/>
        <w:keepNext w:val="0"/>
        <w:keepLines w:val="0"/>
        <w:spacing w:before="0" w:after="0"/>
        <w:rPr>
          <w:rFonts w:ascii="Calibri" w:hAnsi="Calibri" w:eastAsia="Calibri" w:cs="Calibri"/>
          <w:b/>
          <w:color w:val="0E101A"/>
          <w:sz w:val="22"/>
          <w:szCs w:val="22"/>
        </w:rPr>
      </w:pPr>
      <w:bookmarkStart w:id="5" w:name="_6v96425crrzb" w:colFirst="0" w:colLast="0"/>
      <w:bookmarkEnd w:id="5"/>
    </w:p>
    <w:p w14:paraId="00000040">
      <w:pPr>
        <w:rPr>
          <w:rFonts w:ascii="Calibri" w:hAnsi="Calibri" w:eastAsia="Calibri" w:cs="Calibri"/>
          <w:color w:val="0E101A"/>
        </w:rPr>
      </w:pPr>
      <w:r>
        <w:rPr>
          <w:rFonts w:ascii="Calibri" w:hAnsi="Calibri" w:eastAsia="Calibri" w:cs="Calibri"/>
          <w:color w:val="0E101A"/>
          <w:rtl w:val="0"/>
        </w:rPr>
        <w:t>Data privacy and compliance are critical components of building and managing lead databases. By adhering to crucial regulations such as GDPR and CCPA, businesses can protect themselves from legal and financial risks while maintaining customer trust. Implementing practical measures such as obtaining consent, conducting regular audits, and educating employees will ensure robust data privacy management. Prioritise data privacy to safeguard your business and support sustainable growth in the digital age.</w:t>
      </w:r>
    </w:p>
    <w:p w14:paraId="00000041">
      <w:pPr>
        <w:spacing w:before="240" w:after="240"/>
        <w:rPr>
          <w:rFonts w:ascii="Calibri" w:hAnsi="Calibri" w:eastAsia="Calibri" w:cs="Calibri"/>
          <w:b/>
        </w:rPr>
      </w:pPr>
    </w:p>
    <w:p w14:paraId="00000042">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1DA3A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3</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2025-10-09T01:39:31Z</dcterms:created>
  <dc:creator>Armand</dc:creator>
  <cp:lastModifiedBy>RS Junkie</cp:lastModifiedBy>
  <dcterms:modified xsi:type="dcterms:W3CDTF">2025-10-09T01:55:22Z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F37F1A2D70114DFBA287FC3B537C04BE_12</vt:lpwstr>
  </property>
</Properties>
</file>